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2000000">
      <w: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-191135</wp:posOffset>
                </wp:positionH>
                <wp:positionV relativeFrom="paragraph">
                  <wp:posOffset>-114300</wp:posOffset>
                </wp:positionV>
                <wp:extent cx="6428740" cy="1141095"/>
                <wp:wrapNone/>
                <wp:docPr hidden="false" id="1" name="Picture 1"/>
                <a:graphic>
                  <a:graphicData uri="http://schemas.microsoft.com/office/word/2010/wordprocessingGroup">
                    <wpg:wgp>
                      <wpg:cNvGrpSpPr/>
                      <wpg:grpSpPr>
                        <a:xfrm flipH="false" flipV="false" rot="0">
                          <a:off x="0" y="0"/>
                          <a:ext cx="6428740" cy="1141095"/>
                          <a:chOff x="0" y="0"/>
                          <a:chExt cx="6428740" cy="1141095"/>
                        </a:xfrm>
                      </wpg:grpSpPr>
                      <wps:wsp>
                        <wps:cNvSpPr txBox="false"/>
                        <wps:spPr>
                          <a:xfrm flipH="false" flipV="false" rot="0">
                            <a:off x="3622675" y="0"/>
                            <a:ext cx="2806065" cy="114109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03000000">
                              <w:pPr>
                                <w:ind w:right="-148"/>
                                <w:jc w:val="center"/>
                                <w:rPr>
                                  <w:spacing w:val="-4"/>
                                  <w:sz w:val="28"/>
                                </w:rPr>
                              </w:pPr>
                              <w:r>
                                <w:rPr>
                                  <w:spacing w:val="-4"/>
                                  <w:sz w:val="28"/>
                                </w:rPr>
                                <w:t>ТАТАРСТАН РЕСПУБЛИКАСЫ</w:t>
                              </w:r>
                            </w:p>
                            <w:p w14:paraId="04000000">
                              <w:pPr>
                                <w:ind w:right="-148"/>
                                <w:jc w:val="center"/>
                                <w:rPr>
                                  <w:spacing w:val="-4"/>
                                  <w:sz w:val="28"/>
                                </w:rPr>
                              </w:pPr>
                              <w:r>
                                <w:rPr>
                                  <w:spacing w:val="-4"/>
                                  <w:sz w:val="28"/>
                                </w:rPr>
                                <w:t>МӘГАРИФ ҺӘМ ФӘН</w:t>
                              </w:r>
                              <w:r>
                                <w:rPr>
                                  <w:spacing w:val="-4"/>
                                  <w:sz w:val="28"/>
                                </w:rPr>
                                <w:t xml:space="preserve"> МИНИСТРЛЫГЫ</w:t>
                              </w:r>
                            </w:p>
                            <w:p w14:paraId="05000000">
                              <w:pPr>
                                <w:ind w:right="-148"/>
                                <w:jc w:val="center"/>
                                <w:rPr>
                                  <w:sz w:val="14"/>
                                </w:rPr>
                              </w:pPr>
                            </w:p>
                            <w:p w14:paraId="06000000">
                              <w:pPr>
                                <w:ind w:right="-148"/>
                                <w:jc w:val="center"/>
                              </w:pPr>
                              <w:r>
                                <w:t>Кремль</w:t>
                              </w:r>
                              <w:r>
                                <w:t xml:space="preserve"> ур</w:t>
                              </w:r>
                              <w:r>
                                <w:t>.</w:t>
                              </w:r>
                              <w:r>
                                <w:t xml:space="preserve">, </w:t>
                              </w:r>
                              <w:r>
                                <w:t>9</w:t>
                              </w:r>
                              <w:r>
                                <w:t xml:space="preserve"> </w:t>
                              </w:r>
                              <w:r>
                                <w:t>нчы</w:t>
                              </w:r>
                              <w:r>
                                <w:t xml:space="preserve"> йорт,</w:t>
                              </w:r>
                              <w:r>
                                <w:t xml:space="preserve"> </w:t>
                              </w:r>
                              <w:r>
                                <w:t xml:space="preserve">Казан </w:t>
                              </w:r>
                              <w:r>
                                <w:t>ш</w:t>
                              </w:r>
                              <w:r>
                                <w:t>әһәре</w:t>
                              </w:r>
                              <w:r>
                                <w:t>,</w:t>
                              </w:r>
                              <w:r>
                                <w:t xml:space="preserve"> </w:t>
                              </w:r>
                              <w:r>
                                <w:t>420</w:t>
                              </w:r>
                              <w:r>
                                <w:t>111</w:t>
                              </w:r>
                            </w:p>
                          </w:txbxContent>
                        </wps:txbx>
                        <wps:bodyPr anchor="t" bIns="45720" lIns="91440" rIns="91440" tIns="154813">
                          <a:noAutofit/>
                        </wps:bodyPr>
                      </wps:wsp>
                      <wpg:grpSp>
                        <wpg:cNvGrpSpPr/>
                        <wpg:grpSpPr>
                          <a:xfrm flipH="false" flipV="false" rot="0">
                            <a:off x="0" y="0"/>
                            <a:ext cx="3620770" cy="1071879"/>
                            <a:chOff x="0" y="0"/>
                            <a:chExt cx="3620770" cy="1071879"/>
                          </a:xfrm>
                        </wpg:grpSpPr>
                        <wps:wsp>
                          <wps:cNvSpPr txBox="false"/>
                          <wps:spPr>
                            <a:xfrm flipH="false" flipV="false" rot="0">
                              <a:off x="0" y="0"/>
                              <a:ext cx="2777490" cy="1071879"/>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solidFill>
                              <a:srgbClr val="FFFFFF"/>
                            </a:solidFill>
                            <a:ln>
                              <a:noFill/>
                            </a:ln>
                          </wps:spPr>
                          <wps:txbx>
                            <w:txbxContent>
                              <w:p w14:paraId="07000000">
                                <w:pPr>
                                  <w:ind w:firstLine="0" w:left="-142" w:right="-103"/>
                                  <w:jc w:val="center"/>
                                  <w:rPr>
                                    <w:spacing w:val="-8"/>
                                    <w:sz w:val="28"/>
                                  </w:rPr>
                                </w:pPr>
                                <w:r>
                                  <w:rPr>
                                    <w:spacing w:val="-8"/>
                                    <w:sz w:val="28"/>
                                  </w:rPr>
                                  <w:t xml:space="preserve">МИНИСТЕРСТВО </w:t>
                                </w:r>
                              </w:p>
                              <w:p w14:paraId="08000000">
                                <w:pPr>
                                  <w:ind w:firstLine="0" w:left="-142" w:right="-103"/>
                                  <w:jc w:val="center"/>
                                  <w:rPr>
                                    <w:spacing w:val="-8"/>
                                    <w:sz w:val="28"/>
                                  </w:rPr>
                                </w:pPr>
                                <w:r>
                                  <w:rPr>
                                    <w:spacing w:val="-8"/>
                                    <w:sz w:val="28"/>
                                  </w:rPr>
                                  <w:t>ОБРАЗОВАНИЯ И НАУКИ</w:t>
                                </w:r>
                              </w:p>
                              <w:p w14:paraId="09000000">
                                <w:pPr>
                                  <w:ind w:firstLine="0" w:left="-142" w:right="-103"/>
                                  <w:jc w:val="center"/>
                                  <w:rPr>
                                    <w:spacing w:val="-20"/>
                                    <w:sz w:val="28"/>
                                  </w:rPr>
                                </w:pPr>
                                <w:r>
                                  <w:rPr>
                                    <w:spacing w:val="-8"/>
                                    <w:sz w:val="28"/>
                                  </w:rPr>
                                  <w:t>РЕСПУБЛИКИ ТАТАРСТАН</w:t>
                                </w:r>
                              </w:p>
                              <w:p w14:paraId="0A000000">
                                <w:pPr>
                                  <w:ind w:firstLine="0" w:left="-142" w:right="-103"/>
                                  <w:jc w:val="center"/>
                                  <w:rPr>
                                    <w:sz w:val="14"/>
                                  </w:rPr>
                                </w:pPr>
                              </w:p>
                              <w:p w14:paraId="0B000000">
                                <w:pPr>
                                  <w:ind w:firstLine="0" w:left="-142" w:right="-103"/>
                                  <w:jc w:val="center"/>
                                </w:pPr>
                                <w:r>
                                  <w:t>ул.</w:t>
                                </w:r>
                                <w:r>
                                  <w:t>Кремлевская</w:t>
                                </w:r>
                                <w:r>
                                  <w:t>, д</w:t>
                                </w:r>
                                <w:r>
                                  <w:t>.</w:t>
                                </w:r>
                                <w:r>
                                  <w:t>9</w:t>
                                </w:r>
                                <w:r>
                                  <w:t>,</w:t>
                                </w:r>
                                <w:r>
                                  <w:t xml:space="preserve"> </w:t>
                                </w:r>
                                <w:r>
                                  <w:t>г</w:t>
                                </w:r>
                                <w:r>
                                  <w:t>.</w:t>
                                </w:r>
                                <w:r>
                                  <w:t>Казань, 420</w:t>
                                </w:r>
                                <w:r>
                                  <w:t>111</w:t>
                                </w:r>
                              </w:p>
                              <w:p w14:paraId="0C000000">
                                <w:pPr>
                                  <w:ind w:firstLine="0" w:left="-142" w:right="-103"/>
                                  <w:jc w:val="center"/>
                                </w:pPr>
                              </w:p>
                            </w:txbxContent>
                          </wps:txbx>
                          <wps:bodyPr anchor="t" bIns="45720" lIns="91440" rIns="91440" tIns="154813">
                            <a:noAutofit/>
                          </wps:bodyPr>
                        </wps:wsp>
                        <wps:wsp>
                          <wps:cNvSpPr txBox="true"/>
                          <wps:spPr>
                            <a:xfrm flipH="false" flipV="false" rot="0">
                              <a:off x="2890520" y="118109"/>
                              <a:ext cx="730250" cy="716915"/>
                            </a:xfrm>
                            <a:prstGeom prst="rect">
                              <a:avLst/>
                            </a:prstGeom>
                            <a:noFill/>
                            <a:ln>
                              <a:noFill/>
                            </a:ln>
                          </wps:spPr>
                          <wps:bodyPr anchor="t" bIns="45720" lIns="91440" rIns="91440" tIns="45720">
                            <a:noAutofit/>
                          </wps:bodyPr>
                        </wps:wsp>
                      </wpg:grp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D000000"/>
    <w:p w14:paraId="0E000000"/>
    <w:p w14:paraId="0F000000"/>
    <w:p w14:paraId="10000000"/>
    <w:p w14:paraId="11000000">
      <w:pPr>
        <w:rPr>
          <w:b w:val="1"/>
          <w:sz w:val="32"/>
        </w:rPr>
      </w:pPr>
    </w:p>
    <w:p w14:paraId="12000000">
      <w:pPr>
        <w:ind w:right="566"/>
        <w:jc w:val="center"/>
      </w:pPr>
    </w:p>
    <w:p w14:paraId="13000000">
      <w:pPr>
        <w:ind w:right="566"/>
        <w:jc w:val="center"/>
        <w:rPr>
          <w:sz w:val="6"/>
        </w:rPr>
      </w:pPr>
      <w:r>
        <w:t xml:space="preserve">Тел.: (843) </w:t>
      </w:r>
      <w:r>
        <w:t>294-95-90</w:t>
      </w:r>
      <w:r>
        <w:t>, факс: (843) 29</w:t>
      </w:r>
      <w:r>
        <w:t>2</w:t>
      </w:r>
      <w:r>
        <w:t xml:space="preserve">-93-51, </w:t>
      </w:r>
      <w:r>
        <w:t>e</w:t>
      </w:r>
      <w:r>
        <w:t>-mail: Minobr.Priemnaya</w:t>
      </w:r>
      <w:r>
        <w:t>@tatar.ru</w:t>
      </w:r>
      <w:r>
        <w:t xml:space="preserve">, </w:t>
      </w:r>
      <w:r>
        <w:t xml:space="preserve">сайт: </w:t>
      </w:r>
      <w:r>
        <w:t>m</w:t>
      </w:r>
      <w:r>
        <w:t>on</w:t>
      </w:r>
      <w:r>
        <w:t>.tatarstan.ru</w:t>
      </w:r>
    </w:p>
    <w:p w14:paraId="14000000">
      <w:pPr>
        <w:ind w:right="707"/>
        <w:rPr>
          <w:b w:val="1"/>
          <w:sz w:val="14"/>
        </w:rPr>
      </w:pPr>
    </w:p>
    <w:p w14:paraId="15000000">
      <w:r>
        <w:t xml:space="preserve">20.04.2024 г. </w:t>
      </w:r>
      <w:r>
        <w:t>№</w:t>
      </w:r>
      <w:r>
        <w:t>4771/24</w:t>
      </w:r>
    </w:p>
    <w:p w14:paraId="16000000">
      <w:pPr>
        <w:rPr>
          <w:sz w:val="4"/>
        </w:rPr>
      </w:pPr>
    </w:p>
    <w:p w14:paraId="17000000">
      <w:pPr>
        <w:rPr>
          <w:sz w:val="16"/>
        </w:rPr>
      </w:pPr>
    </w:p>
    <w:p w14:paraId="18000000">
      <w:pPr>
        <w:ind w:firstLine="0" w:left="5220"/>
        <w:rPr>
          <w:b w:val="1"/>
          <w:sz w:val="28"/>
        </w:rPr>
      </w:pPr>
      <w:r>
        <w:rPr>
          <w:b w:val="1"/>
          <w:sz w:val="28"/>
          <w:highlight w:val="white"/>
        </w:rPr>
        <w:t>Начальникам отделов (управлений) образования исполнительных комитетов муниципальных образований Республики Татарстан</w:t>
      </w:r>
    </w:p>
    <w:p w14:paraId="19000000">
      <w:pPr>
        <w:ind w:firstLine="0" w:left="5220"/>
        <w:rPr>
          <w:b w:val="1"/>
          <w:sz w:val="28"/>
        </w:rPr>
      </w:pPr>
    </w:p>
    <w:p w14:paraId="1A000000">
      <w:pPr>
        <w:rPr>
          <w:sz w:val="24"/>
        </w:rPr>
      </w:pPr>
    </w:p>
    <w:p w14:paraId="1B000000">
      <w:pPr>
        <w:rPr>
          <w:sz w:val="24"/>
        </w:rPr>
      </w:pPr>
      <w:r>
        <w:rPr>
          <w:sz w:val="24"/>
        </w:rPr>
        <w:t xml:space="preserve">О проведении </w:t>
      </w:r>
      <w:r>
        <w:rPr>
          <w:sz w:val="24"/>
        </w:rPr>
        <w:t xml:space="preserve">Всероссийского </w:t>
      </w:r>
    </w:p>
    <w:p w14:paraId="1C000000">
      <w:pPr>
        <w:rPr>
          <w:sz w:val="24"/>
        </w:rPr>
      </w:pPr>
      <w:r>
        <w:rPr>
          <w:sz w:val="24"/>
        </w:rPr>
        <w:t>онлайн-марафона «ЕГЭ – это про100!»</w:t>
      </w:r>
    </w:p>
    <w:p w14:paraId="1D000000">
      <w:pPr>
        <w:ind w:firstLine="567"/>
        <w:jc w:val="both"/>
        <w:rPr>
          <w:sz w:val="28"/>
        </w:rPr>
      </w:pPr>
    </w:p>
    <w:p w14:paraId="1E000000">
      <w:pPr>
        <w:ind w:firstLine="567"/>
        <w:jc w:val="both"/>
        <w:rPr>
          <w:sz w:val="28"/>
        </w:rPr>
      </w:pPr>
    </w:p>
    <w:p w14:paraId="1F000000">
      <w:pPr>
        <w:spacing w:line="264" w:lineRule="auto"/>
        <w:ind w:firstLine="709"/>
        <w:jc w:val="center"/>
        <w:rPr>
          <w:b w:val="1"/>
          <w:sz w:val="28"/>
        </w:rPr>
      </w:pPr>
      <w:r>
        <w:rPr>
          <w:b w:val="1"/>
          <w:sz w:val="28"/>
        </w:rPr>
        <w:t>Уважаемые коллеги!</w:t>
      </w:r>
    </w:p>
    <w:p w14:paraId="20000000">
      <w:pPr>
        <w:ind w:firstLine="709"/>
        <w:jc w:val="both"/>
        <w:rPr>
          <w:sz w:val="28"/>
        </w:rPr>
      </w:pPr>
    </w:p>
    <w:p w14:paraId="21000000">
      <w:pPr>
        <w:ind w:firstLine="709"/>
        <w:jc w:val="both"/>
        <w:rPr>
          <w:sz w:val="28"/>
        </w:rPr>
      </w:pPr>
      <w:r>
        <w:rPr>
          <w:sz w:val="28"/>
        </w:rPr>
        <w:t>Федеральн</w:t>
      </w:r>
      <w:r>
        <w:rPr>
          <w:sz w:val="28"/>
        </w:rPr>
        <w:t>ая</w:t>
      </w:r>
      <w:r>
        <w:rPr>
          <w:sz w:val="28"/>
        </w:rPr>
        <w:t xml:space="preserve"> </w:t>
      </w:r>
      <w:r>
        <w:rPr>
          <w:sz w:val="28"/>
        </w:rPr>
        <w:t>служба по надзору в сфере образования и науки (Рособрнадзор) в рамках проведения информационно-разъяснительной кампании проводит Всероссийский онлайн-марафон «ЕГЭ – это про100!»</w:t>
      </w:r>
    </w:p>
    <w:p w14:paraId="22000000">
      <w:pPr>
        <w:ind/>
        <w:jc w:val="both"/>
        <w:rPr>
          <w:sz w:val="28"/>
        </w:rPr>
      </w:pPr>
      <w:r>
        <w:rPr>
          <w:sz w:val="28"/>
        </w:rPr>
        <w:t>(</w:t>
      </w:r>
      <w:r>
        <w:rPr>
          <w:rStyle w:val="Style_2_ch"/>
          <w:sz w:val="28"/>
        </w:rPr>
        <w:fldChar w:fldCharType="begin"/>
      </w:r>
      <w:r>
        <w:rPr>
          <w:rStyle w:val="Style_2_ch"/>
          <w:sz w:val="28"/>
        </w:rPr>
        <w:instrText>HYPERLINK "https://obrnadzor.gov.ru/news/chetvertyj-sezon-onlajn-marafona-ege-eto-pro100-dlya-vypusknikov-2024-goda-projdet-22-26-aprelya/"</w:instrText>
      </w:r>
      <w:r>
        <w:rPr>
          <w:rStyle w:val="Style_2_ch"/>
          <w:sz w:val="28"/>
        </w:rPr>
        <w:fldChar w:fldCharType="separate"/>
      </w:r>
      <w:r>
        <w:rPr>
          <w:rStyle w:val="Style_2_ch"/>
          <w:sz w:val="28"/>
        </w:rPr>
        <w:t>https://obrnadzor.gov.ru/news/chetvertyj-sezon-onlajn-marafona-ege-eto-pro100-dlya-vypuskn</w:t>
      </w:r>
      <w:r>
        <w:rPr>
          <w:rStyle w:val="Style_2_ch"/>
          <w:sz w:val="28"/>
        </w:rPr>
        <w:t>ikov-2024-goda-projdet-22-26-aprelya/</w:t>
      </w:r>
      <w:r>
        <w:rPr>
          <w:rStyle w:val="Style_2_ch"/>
          <w:sz w:val="28"/>
        </w:rPr>
        <w:fldChar w:fldCharType="end"/>
      </w:r>
      <w:r>
        <w:rPr>
          <w:sz w:val="28"/>
        </w:rPr>
        <w:t>)</w:t>
      </w:r>
      <w:r>
        <w:rPr>
          <w:sz w:val="28"/>
        </w:rPr>
        <w:t xml:space="preserve">. </w:t>
      </w:r>
    </w:p>
    <w:p w14:paraId="23000000">
      <w:pPr>
        <w:ind w:firstLine="709"/>
        <w:jc w:val="both"/>
        <w:rPr>
          <w:sz w:val="28"/>
        </w:rPr>
      </w:pPr>
      <w:r>
        <w:rPr>
          <w:sz w:val="28"/>
        </w:rPr>
        <w:t>Цикл тематических эфиров пройдет в период с 22 по 26 апреля 2024 года в соответствии с расписанием трансляций, указанного в приложении</w:t>
      </w:r>
      <w:r>
        <w:rPr>
          <w:sz w:val="28"/>
        </w:rPr>
        <w:t xml:space="preserve"> к письму</w:t>
      </w:r>
      <w:r>
        <w:rPr>
          <w:sz w:val="28"/>
        </w:rPr>
        <w:t>.</w:t>
      </w:r>
    </w:p>
    <w:p w14:paraId="24000000">
      <w:pPr>
        <w:ind w:firstLine="709"/>
        <w:jc w:val="both"/>
        <w:rPr>
          <w:sz w:val="28"/>
        </w:rPr>
      </w:pPr>
      <w:r>
        <w:rPr>
          <w:sz w:val="28"/>
        </w:rPr>
        <w:t>Трансляции будут проходить в официальных аккаунтах Рособрнадзора</w:t>
      </w:r>
      <w:r>
        <w:rPr>
          <w:sz w:val="28"/>
        </w:rPr>
        <w:t xml:space="preserve"> (</w:t>
      </w:r>
      <w:r>
        <w:rPr>
          <w:sz w:val="28"/>
        </w:rPr>
        <w:t xml:space="preserve">ВКонтакте </w:t>
      </w:r>
      <w:r>
        <w:rPr>
          <w:rStyle w:val="Style_2_ch"/>
          <w:sz w:val="28"/>
        </w:rPr>
        <w:fldChar w:fldCharType="begin"/>
      </w:r>
      <w:r>
        <w:rPr>
          <w:rStyle w:val="Style_2_ch"/>
          <w:sz w:val="28"/>
        </w:rPr>
        <w:instrText>HYPERLINK "https://vk.com/rosobrnadzor"</w:instrText>
      </w:r>
      <w:r>
        <w:rPr>
          <w:rStyle w:val="Style_2_ch"/>
          <w:sz w:val="28"/>
        </w:rPr>
        <w:fldChar w:fldCharType="separate"/>
      </w:r>
      <w:r>
        <w:rPr>
          <w:rStyle w:val="Style_2_ch"/>
          <w:sz w:val="28"/>
        </w:rPr>
        <w:t>https://vk.com/rosobrnadzor</w:t>
      </w:r>
      <w:r>
        <w:rPr>
          <w:rStyle w:val="Style_2_ch"/>
          <w:sz w:val="28"/>
        </w:rPr>
        <w:fldChar w:fldCharType="end"/>
      </w:r>
      <w:r>
        <w:rPr>
          <w:sz w:val="28"/>
        </w:rPr>
        <w:t xml:space="preserve">; </w:t>
      </w:r>
      <w:r>
        <w:rPr>
          <w:sz w:val="28"/>
        </w:rPr>
        <w:t>Rutube</w:t>
      </w:r>
      <w:r>
        <w:rPr>
          <w:sz w:val="28"/>
        </w:rPr>
        <w:t xml:space="preserve"> </w:t>
      </w:r>
      <w:r>
        <w:rPr>
          <w:rStyle w:val="Style_2_ch"/>
          <w:sz w:val="28"/>
        </w:rPr>
        <w:fldChar w:fldCharType="begin"/>
      </w:r>
      <w:r>
        <w:rPr>
          <w:rStyle w:val="Style_2_ch"/>
          <w:sz w:val="28"/>
        </w:rPr>
        <w:instrText>HYPERLINK "https://rutube.ru/channel/25110944/"</w:instrText>
      </w:r>
      <w:r>
        <w:rPr>
          <w:rStyle w:val="Style_2_ch"/>
          <w:sz w:val="28"/>
        </w:rPr>
        <w:fldChar w:fldCharType="separate"/>
      </w:r>
      <w:r>
        <w:rPr>
          <w:rStyle w:val="Style_2_ch"/>
          <w:sz w:val="28"/>
        </w:rPr>
        <w:t>https</w:t>
      </w:r>
      <w:r>
        <w:rPr>
          <w:rStyle w:val="Style_2_ch"/>
          <w:sz w:val="28"/>
        </w:rPr>
        <w:t>://</w:t>
      </w:r>
      <w:r>
        <w:rPr>
          <w:rStyle w:val="Style_2_ch"/>
          <w:sz w:val="28"/>
        </w:rPr>
        <w:t>rutube</w:t>
      </w:r>
      <w:r>
        <w:rPr>
          <w:rStyle w:val="Style_2_ch"/>
          <w:sz w:val="28"/>
        </w:rPr>
        <w:t>.</w:t>
      </w:r>
      <w:r>
        <w:rPr>
          <w:rStyle w:val="Style_2_ch"/>
          <w:sz w:val="28"/>
        </w:rPr>
        <w:t>ru</w:t>
      </w:r>
      <w:r>
        <w:rPr>
          <w:rStyle w:val="Style_2_ch"/>
          <w:sz w:val="28"/>
        </w:rPr>
        <w:t>/</w:t>
      </w:r>
      <w:r>
        <w:rPr>
          <w:rStyle w:val="Style_2_ch"/>
          <w:sz w:val="28"/>
        </w:rPr>
        <w:t>channel</w:t>
      </w:r>
      <w:r>
        <w:rPr>
          <w:rStyle w:val="Style_2_ch"/>
          <w:sz w:val="28"/>
        </w:rPr>
        <w:t>/25110944/</w:t>
      </w:r>
      <w:r>
        <w:rPr>
          <w:rStyle w:val="Style_2_ch"/>
          <w:sz w:val="28"/>
        </w:rPr>
        <w:fldChar w:fldCharType="end"/>
      </w:r>
      <w:r>
        <w:rPr>
          <w:sz w:val="28"/>
        </w:rPr>
        <w:t>).</w:t>
      </w:r>
    </w:p>
    <w:p w14:paraId="25000000">
      <w:pPr>
        <w:ind w:firstLine="709"/>
        <w:jc w:val="both"/>
        <w:rPr>
          <w:sz w:val="28"/>
        </w:rPr>
      </w:pPr>
      <w:r>
        <w:rPr>
          <w:sz w:val="28"/>
        </w:rPr>
        <w:t>Просим</w:t>
      </w:r>
      <w:r>
        <w:rPr>
          <w:sz w:val="28"/>
        </w:rPr>
        <w:t xml:space="preserve"> проинформировать общеобразовательные организации и </w:t>
      </w:r>
      <w:r>
        <w:rPr>
          <w:sz w:val="28"/>
        </w:rPr>
        <w:t xml:space="preserve">оказать содействие в информационной поддержке марафона </w:t>
      </w:r>
      <w:r>
        <w:rPr>
          <w:sz w:val="28"/>
        </w:rPr>
        <w:t xml:space="preserve">на ваших </w:t>
      </w:r>
      <w:r>
        <w:rPr>
          <w:sz w:val="28"/>
        </w:rPr>
        <w:t>и</w:t>
      </w:r>
      <w:r>
        <w:rPr>
          <w:sz w:val="28"/>
        </w:rPr>
        <w:t>нтернет-ресурсах</w:t>
      </w:r>
      <w:r>
        <w:rPr>
          <w:sz w:val="28"/>
        </w:rPr>
        <w:t>.</w:t>
      </w:r>
      <w:r>
        <w:rPr>
          <w:sz w:val="28"/>
        </w:rPr>
        <w:t xml:space="preserve"> </w:t>
      </w:r>
    </w:p>
    <w:p w14:paraId="26000000">
      <w:pPr>
        <w:ind w:firstLine="709"/>
        <w:jc w:val="both"/>
        <w:rPr>
          <w:sz w:val="28"/>
        </w:rPr>
      </w:pPr>
      <w:r>
        <w:rPr>
          <w:sz w:val="28"/>
        </w:rPr>
        <w:t xml:space="preserve">Ссылки для просмотра </w:t>
      </w:r>
      <w:r>
        <w:rPr>
          <w:sz w:val="28"/>
        </w:rPr>
        <w:t xml:space="preserve">тематических эфиров </w:t>
      </w:r>
      <w:r>
        <w:rPr>
          <w:sz w:val="28"/>
        </w:rPr>
        <w:t xml:space="preserve">будут направлены дополнительно </w:t>
      </w:r>
      <w:r>
        <w:rPr>
          <w:sz w:val="28"/>
        </w:rPr>
        <w:t>в рабочем порядке.</w:t>
      </w:r>
    </w:p>
    <w:p w14:paraId="27000000">
      <w:pPr>
        <w:ind w:firstLine="709"/>
        <w:jc w:val="both"/>
        <w:rPr>
          <w:sz w:val="28"/>
        </w:rPr>
      </w:pPr>
      <w:r>
        <w:rPr>
          <w:sz w:val="28"/>
        </w:rPr>
        <w:t xml:space="preserve">Приложение: на </w:t>
      </w:r>
      <w:r>
        <w:rPr>
          <w:sz w:val="28"/>
        </w:rPr>
        <w:t>1</w:t>
      </w:r>
      <w:r>
        <w:rPr>
          <w:sz w:val="28"/>
        </w:rPr>
        <w:t xml:space="preserve"> л. в 1 экз.</w:t>
      </w:r>
    </w:p>
    <w:p w14:paraId="28000000">
      <w:pPr>
        <w:ind/>
        <w:jc w:val="center"/>
        <w:rPr>
          <w:sz w:val="30"/>
        </w:rPr>
      </w:pPr>
    </w:p>
    <w:p w14:paraId="29000000">
      <w:pPr>
        <w:ind/>
        <w:jc w:val="both"/>
        <w:rPr>
          <w:sz w:val="30"/>
        </w:rPr>
      </w:pPr>
    </w:p>
    <w:p w14:paraId="2A000000">
      <w:pPr>
        <w:ind/>
        <w:jc w:val="both"/>
        <w:rPr>
          <w:b w:val="1"/>
          <w:sz w:val="28"/>
        </w:rPr>
      </w:pPr>
      <w:r>
        <w:rPr>
          <w:b w:val="1"/>
          <w:sz w:val="28"/>
        </w:rPr>
        <w:t>Заместитель министра</w:t>
      </w:r>
      <w:r>
        <w:rPr>
          <w:b w:val="1"/>
          <w:sz w:val="28"/>
        </w:rPr>
        <w:tab/>
      </w:r>
      <w:r>
        <w:rPr>
          <w:b w:val="1"/>
          <w:sz w:val="28"/>
        </w:rPr>
        <w:tab/>
      </w:r>
      <w:r>
        <w:rPr>
          <w:b w:val="1"/>
          <w:sz w:val="28"/>
        </w:rPr>
        <w:tab/>
      </w:r>
      <w:r>
        <w:rPr>
          <w:b w:val="1"/>
          <w:sz w:val="28"/>
        </w:rPr>
        <w:tab/>
      </w:r>
      <w:r>
        <w:rPr>
          <w:b w:val="1"/>
          <w:sz w:val="28"/>
        </w:rPr>
        <w:tab/>
      </w:r>
      <w:r>
        <w:rPr>
          <w:b w:val="1"/>
          <w:sz w:val="28"/>
        </w:rPr>
        <w:tab/>
      </w:r>
      <w:r>
        <w:rPr>
          <w:b w:val="1"/>
          <w:sz w:val="28"/>
        </w:rPr>
        <w:tab/>
      </w:r>
      <w:r>
        <w:rPr>
          <w:b w:val="1"/>
          <w:sz w:val="28"/>
        </w:rPr>
        <w:t xml:space="preserve">       </w:t>
      </w:r>
      <w:r>
        <w:rPr>
          <w:b w:val="1"/>
          <w:sz w:val="28"/>
        </w:rPr>
        <w:t>М.З.Закирова</w:t>
      </w:r>
    </w:p>
    <w:p w14:paraId="2B000000">
      <w:pPr>
        <w:ind/>
        <w:jc w:val="both"/>
        <w:rPr>
          <w:sz w:val="28"/>
        </w:rPr>
      </w:pPr>
    </w:p>
    <w:p w14:paraId="2C000000">
      <w:pPr>
        <w:ind/>
        <w:jc w:val="both"/>
        <w:rPr>
          <w:sz w:val="28"/>
        </w:rPr>
      </w:pPr>
    </w:p>
    <w:p w14:paraId="2D000000">
      <w:pPr>
        <w:ind/>
        <w:jc w:val="both"/>
        <w:rPr>
          <w:sz w:val="28"/>
        </w:rPr>
      </w:pPr>
    </w:p>
    <w:p w14:paraId="2E000000">
      <w:pPr>
        <w:ind/>
        <w:jc w:val="both"/>
        <w:rPr>
          <w:sz w:val="28"/>
        </w:rPr>
      </w:pPr>
    </w:p>
    <w:p w14:paraId="2F000000">
      <w:pPr>
        <w:ind/>
        <w:jc w:val="both"/>
        <w:rPr>
          <w:sz w:val="28"/>
        </w:rPr>
      </w:pPr>
    </w:p>
    <w:p w14:paraId="30000000">
      <w:pPr>
        <w:ind/>
        <w:jc w:val="both"/>
        <w:rPr>
          <w:sz w:val="22"/>
        </w:rPr>
      </w:pPr>
      <w:r>
        <w:rPr>
          <w:sz w:val="22"/>
        </w:rPr>
        <w:t>Г.К.Афанасьева,</w:t>
      </w:r>
    </w:p>
    <w:p w14:paraId="31000000">
      <w:pPr>
        <w:ind/>
        <w:jc w:val="both"/>
        <w:rPr>
          <w:sz w:val="22"/>
        </w:rPr>
      </w:pPr>
      <w:r>
        <w:rPr>
          <w:sz w:val="22"/>
        </w:rPr>
        <w:t>(843) 294-95-62</w:t>
      </w:r>
    </w:p>
    <w:p w14:paraId="32000000">
      <w:pPr>
        <w:ind/>
        <w:jc w:val="right"/>
        <w:rPr>
          <w:sz w:val="28"/>
        </w:rPr>
      </w:pPr>
      <w:r>
        <w:rPr>
          <w:sz w:val="22"/>
        </w:rPr>
        <w:br w:type="page"/>
      </w:r>
      <w:r>
        <w:rPr>
          <w:sz w:val="28"/>
        </w:rPr>
        <w:t>П</w:t>
      </w:r>
      <w:r>
        <w:rPr>
          <w:sz w:val="28"/>
        </w:rPr>
        <w:t>р</w:t>
      </w:r>
      <w:r>
        <w:rPr>
          <w:sz w:val="28"/>
        </w:rPr>
        <w:t>иложение</w:t>
      </w:r>
    </w:p>
    <w:p w14:paraId="33000000">
      <w:pPr>
        <w:ind/>
        <w:jc w:val="both"/>
        <w:rPr>
          <w:sz w:val="28"/>
        </w:rPr>
      </w:pPr>
    </w:p>
    <w:p w14:paraId="34000000">
      <w:pPr>
        <w:ind/>
        <w:jc w:val="center"/>
        <w:rPr>
          <w:rStyle w:val="Style_3_ch"/>
          <w:color w:val="1A1A1A"/>
          <w:spacing w:val="8"/>
          <w:sz w:val="28"/>
          <w:highlight w:val="white"/>
        </w:rPr>
      </w:pPr>
      <w:r>
        <w:rPr>
          <w:rStyle w:val="Style_3_ch"/>
          <w:color w:val="1A1A1A"/>
          <w:spacing w:val="8"/>
          <w:sz w:val="28"/>
          <w:highlight w:val="white"/>
        </w:rPr>
        <w:t xml:space="preserve">Расписание </w:t>
      </w:r>
      <w:r>
        <w:rPr>
          <w:rStyle w:val="Style_3_ch"/>
          <w:color w:val="1A1A1A"/>
          <w:spacing w:val="8"/>
          <w:sz w:val="28"/>
          <w:highlight w:val="white"/>
        </w:rPr>
        <w:t xml:space="preserve">трансляций цикла тематических </w:t>
      </w:r>
      <w:r>
        <w:rPr>
          <w:rStyle w:val="Style_3_ch"/>
          <w:color w:val="1A1A1A"/>
          <w:spacing w:val="8"/>
          <w:sz w:val="28"/>
          <w:highlight w:val="white"/>
        </w:rPr>
        <w:t>эфиров</w:t>
      </w:r>
      <w:r>
        <w:rPr>
          <w:rStyle w:val="Style_3_ch"/>
          <w:color w:val="1A1A1A"/>
          <w:spacing w:val="8"/>
          <w:sz w:val="28"/>
          <w:highlight w:val="white"/>
        </w:rPr>
        <w:t>, посвященных подготовке к единому государственному экзамену в 2024 году.</w:t>
      </w:r>
    </w:p>
    <w:p w14:paraId="35000000">
      <w:pPr>
        <w:ind/>
        <w:jc w:val="center"/>
        <w:rPr>
          <w:rStyle w:val="Style_3_ch"/>
          <w:color w:val="1A1A1A"/>
          <w:spacing w:val="8"/>
          <w:sz w:val="28"/>
          <w:highlight w:val="white"/>
        </w:rPr>
      </w:pPr>
      <w:r>
        <w:rPr>
          <w:rStyle w:val="Style_3_ch"/>
          <w:color w:val="1A1A1A"/>
          <w:spacing w:val="8"/>
          <w:sz w:val="28"/>
          <w:highlight w:val="white"/>
        </w:rPr>
        <w:t>М</w:t>
      </w:r>
      <w:r>
        <w:rPr>
          <w:rStyle w:val="Style_3_ch"/>
          <w:color w:val="1A1A1A"/>
          <w:spacing w:val="8"/>
          <w:sz w:val="28"/>
          <w:highlight w:val="white"/>
        </w:rPr>
        <w:t>арафона «ЕГЭ – это про100!»</w:t>
      </w:r>
    </w:p>
    <w:p w14:paraId="36000000">
      <w:pPr>
        <w:ind/>
        <w:jc w:val="both"/>
        <w:rPr>
          <w:rStyle w:val="Style_3_ch"/>
          <w:rFonts w:ascii="Calibri" w:hAnsi="Calibri"/>
          <w:color w:val="1A1A1A"/>
          <w:spacing w:val="8"/>
          <w:sz w:val="23"/>
          <w:highlight w:val="white"/>
        </w:rPr>
      </w:pP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5"/>
          <w:left w:type="dxa" w:w="15"/>
          <w:bottom w:type="dxa" w:w="15"/>
          <w:right w:type="dxa" w:w="15"/>
        </w:tblCellMar>
      </w:tblPr>
      <w:tblGrid>
        <w:gridCol w:w="2836"/>
        <w:gridCol w:w="2645"/>
        <w:gridCol w:w="4728"/>
      </w:tblGrid>
      <w:tr>
        <w:trPr>
          <w:trHeight w:hRule="atLeast" w:val="227"/>
        </w:trPr>
        <w:tc>
          <w:tcPr>
            <w:tcW w:type="dxa" w:w="2836"/>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7000000">
            <w:pPr>
              <w:rPr>
                <w:sz w:val="24"/>
              </w:rPr>
            </w:pPr>
            <w:r>
              <w:rPr>
                <w:b w:val="1"/>
                <w:spacing w:val="8"/>
                <w:sz w:val="24"/>
              </w:rPr>
              <w:t>Время</w:t>
            </w:r>
          </w:p>
        </w:tc>
        <w:tc>
          <w:tcPr>
            <w:tcW w:type="dxa" w:w="7373"/>
            <w:gridSpan w:val="2"/>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8000000">
            <w:r>
              <w:rPr>
                <w:b w:val="1"/>
                <w:spacing w:val="8"/>
                <w:sz w:val="24"/>
              </w:rPr>
              <w:t>Предмет</w:t>
            </w:r>
          </w:p>
        </w:tc>
      </w:tr>
      <w:tr>
        <w:trPr>
          <w:trHeight w:hRule="atLeast" w:val="227"/>
        </w:trPr>
        <w:tc>
          <w:tcPr>
            <w:tcW w:type="dxa" w:w="2836"/>
            <w:vMerge w:val="restart"/>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9000000">
            <w:pPr>
              <w:rPr>
                <w:sz w:val="24"/>
              </w:rPr>
            </w:pPr>
            <w:r>
              <w:rPr>
                <w:sz w:val="24"/>
              </w:rPr>
              <w:t>22.04.2024</w:t>
            </w: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A000000">
            <w:pPr>
              <w:rPr>
                <w:sz w:val="24"/>
              </w:rPr>
            </w:pPr>
            <w:r>
              <w:rPr>
                <w:sz w:val="24"/>
              </w:rPr>
              <w:t>11:00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B000000">
            <w:pPr>
              <w:rPr>
                <w:sz w:val="24"/>
              </w:rPr>
            </w:pPr>
            <w:r>
              <w:rPr>
                <w:sz w:val="24"/>
              </w:rPr>
              <w:t>Литература</w:t>
            </w:r>
          </w:p>
        </w:tc>
      </w:tr>
      <w:tr>
        <w:trPr>
          <w:trHeight w:hRule="atLeast" w:val="227"/>
        </w:trPr>
        <w:tc>
          <w:tcPr>
            <w:tcW w:type="dxa" w:w="2836"/>
            <w:gridSpan w:val="1"/>
            <w:vMerge w:val="continue"/>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C000000">
            <w:pPr>
              <w:rPr>
                <w:sz w:val="24"/>
              </w:rPr>
            </w:pPr>
            <w:r>
              <w:rPr>
                <w:sz w:val="24"/>
              </w:rPr>
              <w:t>13:00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D000000">
            <w:pPr>
              <w:rPr>
                <w:sz w:val="24"/>
              </w:rPr>
            </w:pPr>
            <w:r>
              <w:rPr>
                <w:sz w:val="24"/>
              </w:rPr>
              <w:t>География</w:t>
            </w:r>
          </w:p>
        </w:tc>
      </w:tr>
      <w:tr>
        <w:trPr>
          <w:trHeight w:hRule="atLeast" w:val="227"/>
        </w:trPr>
        <w:tc>
          <w:tcPr>
            <w:tcW w:type="dxa" w:w="2836"/>
            <w:vMerge w:val="restart"/>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E000000">
            <w:pPr>
              <w:rPr>
                <w:sz w:val="24"/>
              </w:rPr>
            </w:pPr>
            <w:r>
              <w:rPr>
                <w:sz w:val="24"/>
              </w:rPr>
              <w:t>23.04.2024</w:t>
            </w: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3F000000">
            <w:pPr>
              <w:rPr>
                <w:sz w:val="24"/>
              </w:rPr>
            </w:pPr>
            <w:r>
              <w:rPr>
                <w:sz w:val="24"/>
              </w:rPr>
              <w:t>11:00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0000000">
            <w:pPr>
              <w:rPr>
                <w:sz w:val="24"/>
              </w:rPr>
            </w:pPr>
            <w:r>
              <w:rPr>
                <w:sz w:val="24"/>
              </w:rPr>
              <w:t>Обществознание</w:t>
            </w:r>
          </w:p>
        </w:tc>
      </w:tr>
      <w:tr>
        <w:trPr>
          <w:trHeight w:hRule="atLeast" w:val="227"/>
        </w:trPr>
        <w:tc>
          <w:tcPr>
            <w:tcW w:type="dxa" w:w="2836"/>
            <w:gridSpan w:val="1"/>
            <w:vMerge w:val="continue"/>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1000000">
            <w:pPr>
              <w:rPr>
                <w:sz w:val="24"/>
              </w:rPr>
            </w:pPr>
            <w:r>
              <w:rPr>
                <w:sz w:val="24"/>
              </w:rPr>
              <w:t>13:00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2000000">
            <w:pPr>
              <w:rPr>
                <w:sz w:val="24"/>
              </w:rPr>
            </w:pPr>
            <w:r>
              <w:rPr>
                <w:sz w:val="24"/>
              </w:rPr>
              <w:t>Иностранный язык</w:t>
            </w:r>
          </w:p>
        </w:tc>
      </w:tr>
      <w:tr>
        <w:trPr>
          <w:trHeight w:hRule="atLeast" w:val="227"/>
        </w:trPr>
        <w:tc>
          <w:tcPr>
            <w:tcW w:type="dxa" w:w="2836"/>
            <w:gridSpan w:val="1"/>
            <w:vMerge w:val="continue"/>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3000000">
            <w:pPr>
              <w:rPr>
                <w:sz w:val="24"/>
              </w:rPr>
            </w:pPr>
            <w:r>
              <w:rPr>
                <w:sz w:val="24"/>
              </w:rPr>
              <w:t>15:00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4000000">
            <w:pPr>
              <w:rPr>
                <w:sz w:val="24"/>
              </w:rPr>
            </w:pPr>
            <w:r>
              <w:rPr>
                <w:sz w:val="24"/>
              </w:rPr>
              <w:t>Химия</w:t>
            </w:r>
          </w:p>
        </w:tc>
      </w:tr>
      <w:tr>
        <w:trPr>
          <w:trHeight w:hRule="atLeast" w:val="227"/>
        </w:trPr>
        <w:tc>
          <w:tcPr>
            <w:tcW w:type="dxa" w:w="2836"/>
            <w:vMerge w:val="restart"/>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5000000">
            <w:pPr>
              <w:rPr>
                <w:sz w:val="24"/>
              </w:rPr>
            </w:pPr>
            <w:r>
              <w:rPr>
                <w:sz w:val="24"/>
              </w:rPr>
              <w:t>24.04.2024</w:t>
            </w: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6000000">
            <w:pPr>
              <w:rPr>
                <w:sz w:val="24"/>
              </w:rPr>
            </w:pPr>
            <w:r>
              <w:rPr>
                <w:sz w:val="24"/>
              </w:rPr>
              <w:t>11:00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7000000">
            <w:pPr>
              <w:rPr>
                <w:sz w:val="24"/>
              </w:rPr>
            </w:pPr>
            <w:r>
              <w:rPr>
                <w:sz w:val="24"/>
              </w:rPr>
              <w:t>История</w:t>
            </w:r>
          </w:p>
        </w:tc>
      </w:tr>
      <w:tr>
        <w:trPr>
          <w:trHeight w:hRule="atLeast" w:val="227"/>
        </w:trPr>
        <w:tc>
          <w:tcPr>
            <w:tcW w:type="dxa" w:w="2836"/>
            <w:gridSpan w:val="1"/>
            <w:vMerge w:val="continue"/>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8000000">
            <w:pPr>
              <w:rPr>
                <w:sz w:val="24"/>
              </w:rPr>
            </w:pPr>
            <w:r>
              <w:rPr>
                <w:sz w:val="24"/>
              </w:rPr>
              <w:t>13:00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9000000">
            <w:pPr>
              <w:rPr>
                <w:sz w:val="24"/>
              </w:rPr>
            </w:pPr>
            <w:r>
              <w:rPr>
                <w:sz w:val="24"/>
              </w:rPr>
              <w:t>Математика</w:t>
            </w:r>
          </w:p>
        </w:tc>
      </w:tr>
      <w:tr>
        <w:trPr>
          <w:trHeight w:hRule="atLeast" w:val="227"/>
        </w:trPr>
        <w:tc>
          <w:tcPr>
            <w:tcW w:type="dxa" w:w="2836"/>
            <w:vMerge w:val="restart"/>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A000000">
            <w:pPr>
              <w:rPr>
                <w:sz w:val="24"/>
              </w:rPr>
            </w:pPr>
            <w:r>
              <w:rPr>
                <w:sz w:val="24"/>
              </w:rPr>
              <w:t>25.04.2024</w:t>
            </w: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B000000">
            <w:pPr>
              <w:rPr>
                <w:sz w:val="24"/>
              </w:rPr>
            </w:pPr>
            <w:r>
              <w:rPr>
                <w:sz w:val="24"/>
              </w:rPr>
              <w:t>13:00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C000000">
            <w:pPr>
              <w:rPr>
                <w:sz w:val="24"/>
              </w:rPr>
            </w:pPr>
            <w:r>
              <w:rPr>
                <w:sz w:val="24"/>
              </w:rPr>
              <w:t>Русский язык</w:t>
            </w:r>
          </w:p>
        </w:tc>
      </w:tr>
      <w:tr>
        <w:trPr>
          <w:trHeight w:hRule="atLeast" w:val="227"/>
        </w:trPr>
        <w:tc>
          <w:tcPr>
            <w:tcW w:type="dxa" w:w="2836"/>
            <w:gridSpan w:val="1"/>
            <w:vMerge w:val="continue"/>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D000000">
            <w:pPr>
              <w:rPr>
                <w:sz w:val="24"/>
              </w:rPr>
            </w:pPr>
            <w:r>
              <w:rPr>
                <w:sz w:val="24"/>
              </w:rPr>
              <w:t>15:00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E000000">
            <w:pPr>
              <w:rPr>
                <w:sz w:val="24"/>
              </w:rPr>
            </w:pPr>
            <w:r>
              <w:rPr>
                <w:sz w:val="24"/>
              </w:rPr>
              <w:t>Физика</w:t>
            </w:r>
          </w:p>
        </w:tc>
      </w:tr>
      <w:tr>
        <w:trPr>
          <w:trHeight w:hRule="atLeast" w:val="227"/>
        </w:trPr>
        <w:tc>
          <w:tcPr>
            <w:tcW w:type="dxa" w:w="2836"/>
            <w:vMerge w:val="restart"/>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4F000000">
            <w:pPr>
              <w:rPr>
                <w:sz w:val="24"/>
              </w:rPr>
            </w:pPr>
            <w:r>
              <w:rPr>
                <w:sz w:val="24"/>
              </w:rPr>
              <w:t>26.04.2024</w:t>
            </w: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50000000">
            <w:pPr>
              <w:rPr>
                <w:sz w:val="24"/>
              </w:rPr>
            </w:pPr>
            <w:r>
              <w:rPr>
                <w:sz w:val="24"/>
              </w:rPr>
              <w:t>11:00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51000000">
            <w:pPr>
              <w:rPr>
                <w:sz w:val="24"/>
              </w:rPr>
            </w:pPr>
            <w:r>
              <w:rPr>
                <w:sz w:val="24"/>
              </w:rPr>
              <w:t>Информатика</w:t>
            </w:r>
          </w:p>
        </w:tc>
      </w:tr>
      <w:tr>
        <w:trPr>
          <w:trHeight w:hRule="atLeast" w:val="227"/>
        </w:trPr>
        <w:tc>
          <w:tcPr>
            <w:tcW w:type="dxa" w:w="2836"/>
            <w:gridSpan w:val="1"/>
            <w:vMerge w:val="continue"/>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tc>
        <w:tc>
          <w:tcPr>
            <w:tcW w:type="dxa" w:w="2645"/>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52000000">
            <w:pPr>
              <w:rPr>
                <w:sz w:val="24"/>
              </w:rPr>
            </w:pPr>
            <w:r>
              <w:rPr>
                <w:sz w:val="24"/>
              </w:rPr>
              <w:t>13:00</w:t>
            </w:r>
          </w:p>
        </w:tc>
        <w:tc>
          <w:tcPr>
            <w:tcW w:type="dxa" w:w="4728"/>
            <w:tcBorders>
              <w:top w:color="000000" w:sz="4" w:val="single"/>
              <w:left w:color="000000" w:sz="4" w:val="single"/>
              <w:bottom w:color="000000" w:sz="4" w:val="single"/>
              <w:right w:color="000000" w:sz="4" w:val="single"/>
            </w:tcBorders>
            <w:tcMar>
              <w:top w:type="dxa" w:w="105"/>
              <w:left w:type="dxa" w:w="105"/>
              <w:bottom w:type="dxa" w:w="105"/>
              <w:right w:type="dxa" w:w="105"/>
            </w:tcMar>
            <w:vAlign w:val="center"/>
          </w:tcPr>
          <w:p w14:paraId="53000000">
            <w:pPr>
              <w:rPr>
                <w:sz w:val="24"/>
              </w:rPr>
            </w:pPr>
            <w:r>
              <w:rPr>
                <w:sz w:val="24"/>
              </w:rPr>
              <w:t>Биология</w:t>
            </w:r>
          </w:p>
        </w:tc>
      </w:tr>
    </w:tbl>
    <w:p w14:paraId="54000000">
      <w:pPr>
        <w:ind/>
        <w:jc w:val="both"/>
        <w:rPr>
          <w:sz w:val="28"/>
        </w:rPr>
      </w:pPr>
    </w:p>
    <w:sectPr>
      <w:footerReference r:id="rId1" w:type="default"/>
      <w:pgSz w:h="16820" w:orient="portrait" w:w="11900"/>
      <w:pgMar w:bottom="851" w:footer="720" w:gutter="0" w:header="720" w:left="1134" w:right="560" w:top="113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1000000">
    <w:pPr>
      <w:pStyle w:val="Style_1"/>
      <w:spacing w:line="12" w:lineRule="auto"/>
      <w:ind/>
      <w:rPr>
        <w:sz w:val="20"/>
      </w:rPr>
    </w:pPr>
  </w:p>
</w:ftr>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footer"/>
    <w:basedOn w:val="Style_5"/>
    <w:link w:val="Style_8_ch"/>
    <w:pPr>
      <w:tabs>
        <w:tab w:leader="none" w:pos="4677" w:val="center"/>
        <w:tab w:leader="none" w:pos="9355" w:val="right"/>
      </w:tabs>
      <w:ind/>
    </w:pPr>
  </w:style>
  <w:style w:styleId="Style_8_ch" w:type="character">
    <w:name w:val="footer"/>
    <w:basedOn w:val="Style_5_ch"/>
    <w:link w:val="Style_8"/>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heading 3"/>
    <w:basedOn w:val="Style_5"/>
    <w:link w:val="Style_11_ch"/>
    <w:uiPriority w:val="9"/>
    <w:qFormat/>
    <w:pPr>
      <w:spacing w:after="300" w:before="150"/>
      <w:ind/>
      <w:outlineLvl w:val="2"/>
    </w:pPr>
    <w:rPr>
      <w:rFonts w:ascii="Arial" w:hAnsi="Arial"/>
      <w:color w:val="5185B4"/>
      <w:spacing w:val="-15"/>
      <w:sz w:val="27"/>
    </w:rPr>
  </w:style>
  <w:style w:styleId="Style_11_ch" w:type="character">
    <w:name w:val="heading 3"/>
    <w:basedOn w:val="Style_5_ch"/>
    <w:link w:val="Style_11"/>
    <w:rPr>
      <w:rFonts w:ascii="Arial" w:hAnsi="Arial"/>
      <w:color w:val="5185B4"/>
      <w:spacing w:val="-15"/>
      <w:sz w:val="27"/>
    </w:rPr>
  </w:style>
  <w:style w:styleId="Style_12" w:type="paragraph">
    <w:name w:val="Default"/>
    <w:link w:val="Style_12_ch"/>
    <w:rPr>
      <w:color w:val="000000"/>
      <w:sz w:val="24"/>
    </w:rPr>
  </w:style>
  <w:style w:styleId="Style_12_ch" w:type="character">
    <w:name w:val="Default"/>
    <w:link w:val="Style_12"/>
    <w:rPr>
      <w:color w:val="000000"/>
      <w:sz w:val="24"/>
    </w:rPr>
  </w:style>
  <w:style w:styleId="Style_13" w:type="paragraph">
    <w:name w:val="Balloon Text"/>
    <w:basedOn w:val="Style_5"/>
    <w:link w:val="Style_13_ch"/>
    <w:rPr>
      <w:rFonts w:ascii="Tahoma" w:hAnsi="Tahoma"/>
      <w:sz w:val="16"/>
    </w:rPr>
  </w:style>
  <w:style w:styleId="Style_13_ch" w:type="character">
    <w:name w:val="Balloon Text"/>
    <w:basedOn w:val="Style_5_ch"/>
    <w:link w:val="Style_13"/>
    <w:rPr>
      <w:rFonts w:ascii="Tahoma" w:hAnsi="Tahoma"/>
      <w:sz w:val="16"/>
    </w:rPr>
  </w:style>
  <w:style w:styleId="Style_14" w:type="paragraph">
    <w:name w:val="Default Paragraph Font"/>
    <w:link w:val="Style_14_ch"/>
  </w:style>
  <w:style w:styleId="Style_14_ch" w:type="character">
    <w:name w:val="Default Paragraph Font"/>
    <w:link w:val="Style_14"/>
  </w:style>
  <w:style w:styleId="Style_3" w:type="paragraph">
    <w:name w:val="Strong"/>
    <w:link w:val="Style_3_ch"/>
    <w:rPr>
      <w:b w:val="1"/>
    </w:rPr>
  </w:style>
  <w:style w:styleId="Style_3_ch" w:type="character">
    <w:name w:val="Strong"/>
    <w:link w:val="Style_3"/>
    <w:rPr>
      <w:b w:val="1"/>
    </w:rPr>
  </w:style>
  <w:style w:styleId="Style_15" w:type="paragraph">
    <w:name w:val="toc 3"/>
    <w:next w:val="Style_5"/>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5"/>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basedOn w:val="Style_5"/>
    <w:next w:val="Style_5"/>
    <w:link w:val="Style_17_ch"/>
    <w:uiPriority w:val="9"/>
    <w:qFormat/>
    <w:pPr>
      <w:keepNext w:val="1"/>
      <w:spacing w:after="60" w:before="240"/>
      <w:ind/>
      <w:outlineLvl w:val="0"/>
    </w:pPr>
    <w:rPr>
      <w:rFonts w:ascii="Calibri Light" w:hAnsi="Calibri Light"/>
      <w:b w:val="1"/>
      <w:sz w:val="32"/>
    </w:rPr>
  </w:style>
  <w:style w:styleId="Style_17_ch" w:type="character">
    <w:name w:val="heading 1"/>
    <w:basedOn w:val="Style_5_ch"/>
    <w:link w:val="Style_17"/>
    <w:rPr>
      <w:rFonts w:ascii="Calibri Light" w:hAnsi="Calibri Light"/>
      <w:b w:val="1"/>
      <w:sz w:val="32"/>
    </w:rPr>
  </w:style>
  <w:style w:styleId="Style_2" w:type="paragraph">
    <w:name w:val="Hyperlink"/>
    <w:link w:val="Style_2_ch"/>
    <w:rPr>
      <w:color w:val="008000"/>
      <w:u w:val="single"/>
    </w:rPr>
  </w:style>
  <w:style w:styleId="Style_2_ch" w:type="character">
    <w:name w:val="Hyperlink"/>
    <w:link w:val="Style_2"/>
    <w:rPr>
      <w:color w:val="008000"/>
      <w:u w:val="single"/>
    </w:rPr>
  </w:style>
  <w:style w:styleId="Style_18" w:type="paragraph">
    <w:name w:val="Footnote"/>
    <w:basedOn w:val="Style_5"/>
    <w:link w:val="Style_18_ch"/>
  </w:style>
  <w:style w:styleId="Style_18_ch" w:type="character">
    <w:name w:val="Footnote"/>
    <w:basedOn w:val="Style_5_ch"/>
    <w:link w:val="Style_18"/>
  </w:style>
  <w:style w:styleId="Style_19" w:type="paragraph">
    <w:name w:val="footnote reference"/>
    <w:link w:val="Style_19_ch"/>
    <w:rPr>
      <w:vertAlign w:val="superscript"/>
    </w:rPr>
  </w:style>
  <w:style w:styleId="Style_19_ch" w:type="character">
    <w:name w:val="footnote reference"/>
    <w:link w:val="Style_19"/>
    <w:rPr>
      <w:vertAlign w:val="superscript"/>
    </w:rPr>
  </w:style>
  <w:style w:styleId="Style_20" w:type="paragraph">
    <w:name w:val="toc 1"/>
    <w:next w:val="Style_5"/>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0"/>
    </w:rPr>
  </w:style>
  <w:style w:styleId="Style_21_ch" w:type="character">
    <w:name w:val="Header and Footer"/>
    <w:link w:val="Style_21"/>
    <w:rPr>
      <w:rFonts w:ascii="XO Thames" w:hAnsi="XO Thames"/>
      <w:sz w:val="20"/>
    </w:rPr>
  </w:style>
  <w:style w:styleId="Style_22" w:type="paragraph">
    <w:name w:val="toc 9"/>
    <w:next w:val="Style_5"/>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header"/>
    <w:basedOn w:val="Style_5"/>
    <w:link w:val="Style_23_ch"/>
    <w:pPr>
      <w:tabs>
        <w:tab w:leader="none" w:pos="4677" w:val="center"/>
        <w:tab w:leader="none" w:pos="9355" w:val="right"/>
      </w:tabs>
      <w:ind/>
    </w:pPr>
  </w:style>
  <w:style w:styleId="Style_23_ch" w:type="character">
    <w:name w:val="header"/>
    <w:basedOn w:val="Style_5_ch"/>
    <w:link w:val="Style_23"/>
  </w:style>
  <w:style w:styleId="Style_24" w:type="paragraph">
    <w:name w:val="toc 8"/>
    <w:next w:val="Style_5"/>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1" w:type="paragraph">
    <w:name w:val="Body Text"/>
    <w:basedOn w:val="Style_5"/>
    <w:link w:val="Style_1_ch"/>
    <w:pPr>
      <w:widowControl w:val="0"/>
      <w:ind/>
    </w:pPr>
    <w:rPr>
      <w:sz w:val="24"/>
    </w:rPr>
  </w:style>
  <w:style w:styleId="Style_1_ch" w:type="character">
    <w:name w:val="Body Text"/>
    <w:basedOn w:val="Style_5_ch"/>
    <w:link w:val="Style_1"/>
    <w:rPr>
      <w:sz w:val="24"/>
    </w:rPr>
  </w:style>
  <w:style w:styleId="Style_25" w:type="paragraph">
    <w:name w:val="toc 5"/>
    <w:next w:val="Style_5"/>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List Paragraph"/>
    <w:basedOn w:val="Style_5"/>
    <w:link w:val="Style_26_ch"/>
    <w:pPr>
      <w:widowControl w:val="0"/>
      <w:ind w:firstLine="708" w:left="112" w:right="102"/>
      <w:jc w:val="both"/>
    </w:pPr>
    <w:rPr>
      <w:sz w:val="22"/>
    </w:rPr>
  </w:style>
  <w:style w:styleId="Style_26_ch" w:type="character">
    <w:name w:val="List Paragraph"/>
    <w:basedOn w:val="Style_5_ch"/>
    <w:link w:val="Style_26"/>
    <w:rPr>
      <w:sz w:val="22"/>
    </w:rPr>
  </w:style>
  <w:style w:styleId="Style_27" w:type="paragraph">
    <w:name w:val="Subtitle"/>
    <w:next w:val="Style_5"/>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oc 10"/>
    <w:next w:val="Style_5"/>
    <w:link w:val="Style_28_ch"/>
    <w:uiPriority w:val="39"/>
    <w:pPr>
      <w:ind w:firstLine="0" w:left="1800"/>
      <w:jc w:val="left"/>
    </w:pPr>
    <w:rPr>
      <w:rFonts w:ascii="XO Thames" w:hAnsi="XO Thames"/>
      <w:sz w:val="28"/>
    </w:rPr>
  </w:style>
  <w:style w:styleId="Style_28_ch" w:type="character">
    <w:name w:val="toc 10"/>
    <w:link w:val="Style_28"/>
    <w:rPr>
      <w:rFonts w:ascii="XO Thames" w:hAnsi="XO Thames"/>
      <w:sz w:val="28"/>
    </w:rPr>
  </w:style>
  <w:style w:styleId="Style_29" w:type="paragraph">
    <w:name w:val="Title"/>
    <w:next w:val="Style_5"/>
    <w:link w:val="Style_29_ch"/>
    <w:uiPriority w:val="10"/>
    <w:qFormat/>
    <w:pPr>
      <w:spacing w:after="567" w:before="567"/>
      <w:ind/>
      <w:jc w:val="center"/>
    </w:pPr>
    <w:rPr>
      <w:rFonts w:ascii="XO Thames" w:hAnsi="XO Thames"/>
      <w:b w:val="1"/>
      <w:caps w:val="1"/>
      <w:sz w:val="40"/>
    </w:rPr>
  </w:style>
  <w:style w:styleId="Style_29_ch" w:type="character">
    <w:name w:val="Title"/>
    <w:link w:val="Style_29"/>
    <w:rPr>
      <w:rFonts w:ascii="XO Thames" w:hAnsi="XO Thames"/>
      <w:b w:val="1"/>
      <w:caps w:val="1"/>
      <w:sz w:val="40"/>
    </w:rPr>
  </w:style>
  <w:style w:styleId="Style_30" w:type="paragraph">
    <w:name w:val="heading 4"/>
    <w:next w:val="Style_5"/>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5"/>
    <w:link w:val="Style_31_ch"/>
    <w:pPr>
      <w:spacing w:afterAutospacing="on" w:beforeAutospacing="on"/>
      <w:ind/>
    </w:pPr>
    <w:rPr>
      <w:rFonts w:ascii="Tahoma" w:hAnsi="Tahoma"/>
    </w:rPr>
  </w:style>
  <w:style w:styleId="Style_31_ch" w:type="character">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5_ch"/>
    <w:link w:val="Style_31"/>
    <w:rPr>
      <w:rFonts w:ascii="Tahoma" w:hAnsi="Tahoma"/>
    </w:rPr>
  </w:style>
  <w:style w:styleId="Style_32" w:type="paragraph">
    <w:name w:val="heading 2"/>
    <w:basedOn w:val="Style_5"/>
    <w:next w:val="Style_5"/>
    <w:link w:val="Style_32_ch"/>
    <w:uiPriority w:val="9"/>
    <w:qFormat/>
    <w:pPr>
      <w:keepNext w:val="1"/>
      <w:spacing w:after="60" w:before="240"/>
      <w:ind/>
      <w:outlineLvl w:val="1"/>
    </w:pPr>
    <w:rPr>
      <w:rFonts w:ascii="Calibri Light" w:hAnsi="Calibri Light"/>
      <w:b w:val="1"/>
      <w:i w:val="1"/>
      <w:sz w:val="28"/>
    </w:rPr>
  </w:style>
  <w:style w:styleId="Style_32_ch" w:type="character">
    <w:name w:val="heading 2"/>
    <w:basedOn w:val="Style_5_ch"/>
    <w:link w:val="Style_32"/>
    <w:rPr>
      <w:rFonts w:ascii="Calibri Light" w:hAnsi="Calibri Light"/>
      <w:b w:val="1"/>
      <w:i w:val="1"/>
      <w:sz w:val="28"/>
    </w:rPr>
  </w:style>
  <w:style w:default="1" w:styleId="Style_4" w:type="table">
    <w:name w:val="Normal Table"/>
    <w:tblPr>
      <w:tblInd w:type="dxa" w:w="0"/>
      <w:tblCellMar>
        <w:top w:type="dxa" w:w="0"/>
        <w:left w:type="dxa" w:w="108"/>
        <w:bottom w:type="dxa" w:w="0"/>
        <w:right w:type="dxa" w:w="108"/>
      </w:tblCellMar>
    </w:tblPr>
  </w:style>
  <w:style w:styleId="Style_33" w:type="table">
    <w:name w:val="Table Grid"/>
    <w:basedOn w:val="Style_4"/>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MyOffice-CoreFramework-Android/24-959.572.6198.597.1@RELEASE-CORE-24.0-ST-3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2024-04-23T05:24:53Z</dcterms:modified>
</cp:coreProperties>
</file>